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297" w14:textId="37640BC7" w:rsidR="00383CB1" w:rsidRDefault="00486E27" w:rsidP="00486E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Memo to </w:t>
      </w:r>
      <w:proofErr w:type="spellStart"/>
      <w:r>
        <w:rPr>
          <w:b/>
          <w:bCs/>
          <w:sz w:val="24"/>
          <w:szCs w:val="24"/>
        </w:rPr>
        <w:t>LCCJ</w:t>
      </w:r>
      <w:proofErr w:type="spellEnd"/>
      <w:r>
        <w:rPr>
          <w:b/>
          <w:bCs/>
          <w:sz w:val="24"/>
          <w:szCs w:val="24"/>
        </w:rPr>
        <w:t xml:space="preserve"> Board</w:t>
      </w:r>
    </w:p>
    <w:p w14:paraId="1424B267" w14:textId="7C0668C8" w:rsidR="00486E27" w:rsidRDefault="00486E27" w:rsidP="00486E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Record of Governance Committee Meeting</w:t>
      </w:r>
    </w:p>
    <w:p w14:paraId="1CEEBCE4" w14:textId="3F77B95A" w:rsidR="00486E27" w:rsidRDefault="00486E27" w:rsidP="00486E27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 w:rsidR="0005764F">
        <w:rPr>
          <w:sz w:val="24"/>
          <w:szCs w:val="24"/>
        </w:rPr>
        <w:t xml:space="preserve">October </w:t>
      </w:r>
      <w:r>
        <w:rPr>
          <w:sz w:val="24"/>
          <w:szCs w:val="24"/>
        </w:rPr>
        <w:t>20, 2021</w:t>
      </w:r>
    </w:p>
    <w:p w14:paraId="0B14B5F9" w14:textId="4BCEC52B" w:rsidR="00486E27" w:rsidRDefault="00486E27" w:rsidP="00486E27">
      <w:pPr>
        <w:rPr>
          <w:sz w:val="24"/>
          <w:szCs w:val="24"/>
        </w:rPr>
      </w:pPr>
      <w:r>
        <w:rPr>
          <w:sz w:val="24"/>
          <w:szCs w:val="24"/>
        </w:rPr>
        <w:t>Present: S. Graham, Chair; A. Toor, R. Dickson, M. Bird, J. McHard, ED</w:t>
      </w:r>
    </w:p>
    <w:p w14:paraId="566EE1A1" w14:textId="40DE4D29" w:rsidR="00486E27" w:rsidRDefault="00486E27" w:rsidP="00486E27">
      <w:pPr>
        <w:rPr>
          <w:sz w:val="24"/>
          <w:szCs w:val="24"/>
        </w:rPr>
      </w:pPr>
      <w:r>
        <w:rPr>
          <w:sz w:val="24"/>
          <w:szCs w:val="24"/>
        </w:rPr>
        <w:t>The meeting addressed 3 issues:</w:t>
      </w:r>
    </w:p>
    <w:p w14:paraId="2B42EDC5" w14:textId="08041BDC" w:rsidR="00486E27" w:rsidRDefault="00486E27" w:rsidP="00486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Revisions / updates to </w:t>
      </w:r>
      <w:proofErr w:type="spellStart"/>
      <w:r>
        <w:rPr>
          <w:sz w:val="24"/>
          <w:szCs w:val="24"/>
        </w:rPr>
        <w:t>LCCJ</w:t>
      </w:r>
      <w:proofErr w:type="spellEnd"/>
      <w:r>
        <w:rPr>
          <w:sz w:val="24"/>
          <w:szCs w:val="24"/>
        </w:rPr>
        <w:t xml:space="preserve"> Bylaws</w:t>
      </w:r>
    </w:p>
    <w:p w14:paraId="20AD80FE" w14:textId="05E92D2C" w:rsidR="00486E27" w:rsidRDefault="00486E27" w:rsidP="00486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updated legislation for </w:t>
      </w:r>
      <w:r w:rsidR="00B2254B">
        <w:rPr>
          <w:sz w:val="24"/>
          <w:szCs w:val="24"/>
        </w:rPr>
        <w:t xml:space="preserve">Ontario </w:t>
      </w:r>
      <w:r>
        <w:rPr>
          <w:sz w:val="24"/>
          <w:szCs w:val="24"/>
        </w:rPr>
        <w:t>Not for Profit Corporations</w:t>
      </w:r>
      <w:r w:rsidR="00E24B93">
        <w:rPr>
          <w:sz w:val="24"/>
          <w:szCs w:val="24"/>
        </w:rPr>
        <w:t xml:space="preserve"> </w:t>
      </w:r>
      <w:r w:rsidR="00B2254B">
        <w:rPr>
          <w:sz w:val="24"/>
          <w:szCs w:val="24"/>
        </w:rPr>
        <w:t xml:space="preserve">Act </w:t>
      </w:r>
      <w:r w:rsidR="00E24B93">
        <w:rPr>
          <w:sz w:val="24"/>
          <w:szCs w:val="24"/>
        </w:rPr>
        <w:t>(ONCA)</w:t>
      </w:r>
      <w:r>
        <w:rPr>
          <w:sz w:val="24"/>
          <w:szCs w:val="24"/>
        </w:rPr>
        <w:t xml:space="preserve"> for its application to </w:t>
      </w:r>
      <w:proofErr w:type="spellStart"/>
      <w:r>
        <w:rPr>
          <w:sz w:val="24"/>
          <w:szCs w:val="24"/>
        </w:rPr>
        <w:t>LCCJ</w:t>
      </w:r>
      <w:proofErr w:type="spellEnd"/>
    </w:p>
    <w:p w14:paraId="032E8A6F" w14:textId="75DED2E3" w:rsidR="00486E27" w:rsidRDefault="00486E27" w:rsidP="00486E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Redrafting of the TOR of the Nominations Committee</w:t>
      </w:r>
    </w:p>
    <w:p w14:paraId="004D53C4" w14:textId="6941252E" w:rsidR="00486E27" w:rsidRDefault="00486E27" w:rsidP="00486E27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LCCJ</w:t>
      </w:r>
      <w:proofErr w:type="spellEnd"/>
      <w:r>
        <w:rPr>
          <w:sz w:val="24"/>
          <w:szCs w:val="24"/>
          <w:u w:val="single"/>
        </w:rPr>
        <w:t xml:space="preserve"> Bylaws</w:t>
      </w:r>
    </w:p>
    <w:p w14:paraId="033C3373" w14:textId="04BD6EED" w:rsidR="00486E27" w:rsidRDefault="003647D6" w:rsidP="00486E27">
      <w:pPr>
        <w:rPr>
          <w:sz w:val="24"/>
          <w:szCs w:val="24"/>
        </w:rPr>
      </w:pPr>
      <w:r>
        <w:rPr>
          <w:sz w:val="24"/>
          <w:szCs w:val="24"/>
        </w:rPr>
        <w:t xml:space="preserve">Initial thinking is that the current Bylaws need review to address outstanding or ill-defined policy issues for </w:t>
      </w:r>
      <w:proofErr w:type="spellStart"/>
      <w:r>
        <w:rPr>
          <w:sz w:val="24"/>
          <w:szCs w:val="24"/>
        </w:rPr>
        <w:t>LCCJ</w:t>
      </w:r>
      <w:proofErr w:type="spellEnd"/>
      <w:r>
        <w:rPr>
          <w:sz w:val="24"/>
          <w:szCs w:val="24"/>
        </w:rPr>
        <w:t>. Conflict of interest is the most obvious and pressing issue at the moment.</w:t>
      </w:r>
    </w:p>
    <w:p w14:paraId="72552361" w14:textId="16F83AB0" w:rsidR="003647D6" w:rsidRDefault="003647D6" w:rsidP="00486E27">
      <w:pPr>
        <w:rPr>
          <w:sz w:val="24"/>
          <w:szCs w:val="24"/>
        </w:rPr>
      </w:pPr>
      <w:r>
        <w:rPr>
          <w:sz w:val="24"/>
          <w:szCs w:val="24"/>
        </w:rPr>
        <w:t xml:space="preserve">In keeping with item 2. </w:t>
      </w: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it is not clear if new </w:t>
      </w:r>
      <w:r w:rsidR="00E24B93">
        <w:rPr>
          <w:sz w:val="24"/>
          <w:szCs w:val="24"/>
        </w:rPr>
        <w:t xml:space="preserve">ONCA </w:t>
      </w:r>
      <w:r>
        <w:rPr>
          <w:sz w:val="24"/>
          <w:szCs w:val="24"/>
        </w:rPr>
        <w:t xml:space="preserve">legislation will require a complete (or substantial) revision of existing bylaws. Web </w:t>
      </w:r>
      <w:proofErr w:type="gramStart"/>
      <w:r>
        <w:rPr>
          <w:sz w:val="24"/>
          <w:szCs w:val="24"/>
        </w:rPr>
        <w:t>resources  are</w:t>
      </w:r>
      <w:proofErr w:type="gramEnd"/>
      <w:r>
        <w:rPr>
          <w:sz w:val="24"/>
          <w:szCs w:val="24"/>
        </w:rPr>
        <w:t xml:space="preserve"> available that provide model bylaws under the new legislation</w:t>
      </w:r>
      <w:r w:rsidR="002B5F49">
        <w:rPr>
          <w:sz w:val="24"/>
          <w:szCs w:val="24"/>
        </w:rPr>
        <w:t xml:space="preserve"> such as </w:t>
      </w:r>
      <w:hyperlink r:id="rId5" w:history="1">
        <w:r w:rsidR="002B5F49" w:rsidRPr="008C2EC5">
          <w:rPr>
            <w:rStyle w:val="Hyperlink"/>
            <w:sz w:val="24"/>
            <w:szCs w:val="24"/>
          </w:rPr>
          <w:t>https://nonprofitlaw.cleo.on.ca/wp-content/uploads/2014/06/For-review-ONCA_SampleBylaw_26Nov2018-1.pdf</w:t>
        </w:r>
      </w:hyperlink>
      <w:r w:rsidR="002B5F4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1A43CC55" w14:textId="591423AC" w:rsidR="003647D6" w:rsidRDefault="003647D6" w:rsidP="00486E27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the </w:t>
      </w:r>
      <w:proofErr w:type="gramStart"/>
      <w:r>
        <w:rPr>
          <w:sz w:val="24"/>
          <w:szCs w:val="24"/>
        </w:rPr>
        <w:t>conflict of interest</w:t>
      </w:r>
      <w:proofErr w:type="gramEnd"/>
      <w:r>
        <w:rPr>
          <w:sz w:val="24"/>
          <w:szCs w:val="24"/>
        </w:rPr>
        <w:t xml:space="preserve"> issue should be addressed broadly for </w:t>
      </w:r>
      <w:proofErr w:type="spellStart"/>
      <w:r>
        <w:rPr>
          <w:sz w:val="24"/>
          <w:szCs w:val="24"/>
        </w:rPr>
        <w:t>LCCJ</w:t>
      </w:r>
      <w:proofErr w:type="spellEnd"/>
      <w:r>
        <w:rPr>
          <w:sz w:val="24"/>
          <w:szCs w:val="24"/>
        </w:rPr>
        <w:t xml:space="preserve"> </w:t>
      </w:r>
      <w:r w:rsidR="00E24B93">
        <w:rPr>
          <w:sz w:val="24"/>
          <w:szCs w:val="24"/>
        </w:rPr>
        <w:t xml:space="preserve">as it applies to the operation of the Corporation </w:t>
      </w:r>
      <w:r>
        <w:rPr>
          <w:sz w:val="24"/>
          <w:szCs w:val="24"/>
        </w:rPr>
        <w:t>beyond the narrow focus of Director’s conflicts in decision making</w:t>
      </w:r>
      <w:r w:rsidR="00E24B93">
        <w:rPr>
          <w:sz w:val="24"/>
          <w:szCs w:val="24"/>
        </w:rPr>
        <w:t xml:space="preserve">. Other resources such as the wording of the </w:t>
      </w:r>
      <w:proofErr w:type="spellStart"/>
      <w:r w:rsidR="00E24B93">
        <w:rPr>
          <w:sz w:val="24"/>
          <w:szCs w:val="24"/>
        </w:rPr>
        <w:t>MCCSS</w:t>
      </w:r>
      <w:proofErr w:type="spellEnd"/>
      <w:r w:rsidR="00E24B93">
        <w:rPr>
          <w:sz w:val="24"/>
          <w:szCs w:val="24"/>
        </w:rPr>
        <w:t xml:space="preserve"> contract should be investigated.</w:t>
      </w:r>
      <w:r w:rsidR="00B2254B">
        <w:rPr>
          <w:sz w:val="24"/>
          <w:szCs w:val="24"/>
        </w:rPr>
        <w:t xml:space="preserve"> Other options for dealing with the issue exist such as Policy and Procedure documents. </w:t>
      </w:r>
    </w:p>
    <w:p w14:paraId="0E066054" w14:textId="7ECB40F5" w:rsidR="00E24B93" w:rsidRDefault="00E24B93" w:rsidP="00486E27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further research is required to determine if new legislation will require a complete redrafting of bylaws or, if not, how approval of existing bylaws by ONCA will proceed. </w:t>
      </w:r>
      <w:r w:rsidR="00B2254B">
        <w:rPr>
          <w:sz w:val="24"/>
          <w:szCs w:val="24"/>
        </w:rPr>
        <w:t xml:space="preserve">Web resources such as </w:t>
      </w:r>
      <w:hyperlink r:id="rId6" w:history="1">
        <w:r w:rsidR="00B2254B" w:rsidRPr="008C2EC5">
          <w:rPr>
            <w:rStyle w:val="Hyperlink"/>
            <w:sz w:val="24"/>
            <w:szCs w:val="24"/>
          </w:rPr>
          <w:t>https://nonprofitlaw.cleo.on.ca/future-law/update-governing-documents/bylaw-basics/</w:t>
        </w:r>
      </w:hyperlink>
      <w:r w:rsidR="00B2254B">
        <w:rPr>
          <w:sz w:val="24"/>
          <w:szCs w:val="24"/>
        </w:rPr>
        <w:t xml:space="preserve"> can help with this.</w:t>
      </w:r>
    </w:p>
    <w:p w14:paraId="186E54FE" w14:textId="61DB26D2" w:rsidR="00E24B93" w:rsidRDefault="00E24B93" w:rsidP="00486E27">
      <w:pPr>
        <w:rPr>
          <w:sz w:val="24"/>
          <w:szCs w:val="24"/>
        </w:rPr>
      </w:pPr>
      <w:r>
        <w:rPr>
          <w:sz w:val="24"/>
          <w:szCs w:val="24"/>
        </w:rPr>
        <w:t>Ross Dickson agreed to head up this initiative with the assistance of Marilyn Bird.</w:t>
      </w:r>
    </w:p>
    <w:p w14:paraId="2F6D296C" w14:textId="3983FE07" w:rsidR="00E24B93" w:rsidRDefault="00E24B93" w:rsidP="00486E2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Review of </w:t>
      </w:r>
      <w:r w:rsidR="00B2254B">
        <w:rPr>
          <w:sz w:val="24"/>
          <w:szCs w:val="24"/>
          <w:u w:val="single"/>
        </w:rPr>
        <w:t xml:space="preserve">ONCA for its Application to </w:t>
      </w:r>
      <w:proofErr w:type="spellStart"/>
      <w:r w:rsidR="00B2254B">
        <w:rPr>
          <w:sz w:val="24"/>
          <w:szCs w:val="24"/>
          <w:u w:val="single"/>
        </w:rPr>
        <w:t>LCCJ</w:t>
      </w:r>
      <w:proofErr w:type="spellEnd"/>
    </w:p>
    <w:p w14:paraId="17B52411" w14:textId="5C44B005" w:rsidR="00B2254B" w:rsidRPr="00EB2854" w:rsidRDefault="002B5F49" w:rsidP="00486E27">
      <w:pPr>
        <w:rPr>
          <w:sz w:val="24"/>
          <w:szCs w:val="24"/>
        </w:rPr>
      </w:pPr>
      <w:r>
        <w:rPr>
          <w:sz w:val="24"/>
          <w:szCs w:val="24"/>
        </w:rPr>
        <w:t xml:space="preserve">ONCA has been in force since October 19, 2021. It pertains to </w:t>
      </w:r>
      <w:proofErr w:type="spellStart"/>
      <w:r>
        <w:rPr>
          <w:sz w:val="24"/>
          <w:szCs w:val="24"/>
        </w:rPr>
        <w:t>LCCJ</w:t>
      </w:r>
      <w:proofErr w:type="spellEnd"/>
      <w:r>
        <w:rPr>
          <w:sz w:val="24"/>
          <w:szCs w:val="24"/>
        </w:rPr>
        <w:t xml:space="preserve"> and we have 3 years to comply with its requirements. We are now termed a Public Benefit Corporation receiving more than $10,000 in donations or public assistance. With an annual budget between </w:t>
      </w:r>
      <w:r w:rsidR="00EB2854">
        <w:rPr>
          <w:sz w:val="24"/>
          <w:szCs w:val="24"/>
        </w:rPr>
        <w:t xml:space="preserve">$100,000 and $500,000 we </w:t>
      </w:r>
      <w:r w:rsidR="00EB2854">
        <w:rPr>
          <w:sz w:val="24"/>
          <w:szCs w:val="24"/>
          <w:u w:val="single"/>
        </w:rPr>
        <w:t>appear</w:t>
      </w:r>
      <w:r w:rsidR="00EB2854">
        <w:rPr>
          <w:sz w:val="24"/>
          <w:szCs w:val="24"/>
        </w:rPr>
        <w:t xml:space="preserve"> eligible to replace our annual financial audit with a less costly “review engagement”. Our contract with </w:t>
      </w:r>
      <w:proofErr w:type="spellStart"/>
      <w:r w:rsidR="00EB2854">
        <w:rPr>
          <w:sz w:val="24"/>
          <w:szCs w:val="24"/>
        </w:rPr>
        <w:t>MCCSS</w:t>
      </w:r>
      <w:proofErr w:type="spellEnd"/>
      <w:r w:rsidR="00EB2854">
        <w:rPr>
          <w:sz w:val="24"/>
          <w:szCs w:val="24"/>
        </w:rPr>
        <w:t>, however, stipulates an annual audit so the way forward on this issue will have to be determined by the Finance Committee.</w:t>
      </w:r>
    </w:p>
    <w:p w14:paraId="1DBDBE8C" w14:textId="31F59A04" w:rsidR="00486E27" w:rsidRDefault="00EB2854" w:rsidP="00EB28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 discussed ONCA impacts on our existing bylaws are not clear and should be investigated further by the Governance Committee.</w:t>
      </w:r>
    </w:p>
    <w:p w14:paraId="36226B23" w14:textId="1BFA744E" w:rsidR="00EB2854" w:rsidRDefault="00EB2854" w:rsidP="00EB2854">
      <w:pPr>
        <w:rPr>
          <w:sz w:val="24"/>
          <w:szCs w:val="24"/>
        </w:rPr>
      </w:pPr>
      <w:r>
        <w:rPr>
          <w:sz w:val="24"/>
          <w:szCs w:val="24"/>
          <w:u w:val="single"/>
        </w:rPr>
        <w:t>Nomination Committee TOR Redrafting</w:t>
      </w:r>
    </w:p>
    <w:p w14:paraId="724C9B4A" w14:textId="504A7299" w:rsidR="00EB2854" w:rsidRPr="00EB2854" w:rsidRDefault="00EB2854" w:rsidP="00EB2854">
      <w:pPr>
        <w:rPr>
          <w:sz w:val="24"/>
          <w:szCs w:val="24"/>
        </w:rPr>
      </w:pPr>
      <w:r>
        <w:rPr>
          <w:sz w:val="24"/>
          <w:szCs w:val="24"/>
        </w:rPr>
        <w:t xml:space="preserve">It was agreed a redraft is necessary. Recent </w:t>
      </w:r>
      <w:r w:rsidR="006005BF">
        <w:rPr>
          <w:sz w:val="24"/>
          <w:szCs w:val="24"/>
        </w:rPr>
        <w:t xml:space="preserve">Nomination Committee </w:t>
      </w:r>
      <w:r>
        <w:rPr>
          <w:sz w:val="24"/>
          <w:szCs w:val="24"/>
        </w:rPr>
        <w:t>members Steve Graham and Aisha Toor have a good understanding of the issues and are prepared to take this on</w:t>
      </w:r>
      <w:r w:rsidR="006005BF">
        <w:rPr>
          <w:sz w:val="24"/>
          <w:szCs w:val="24"/>
        </w:rPr>
        <w:t xml:space="preserve"> once the full extent of Bylaw and /or Policy and Procedure (Item 1) changes are known.</w:t>
      </w:r>
    </w:p>
    <w:p w14:paraId="2994DFF5" w14:textId="77777777" w:rsidR="00486E27" w:rsidRPr="00486E27" w:rsidRDefault="00486E27" w:rsidP="00486E27">
      <w:pPr>
        <w:ind w:left="360"/>
        <w:rPr>
          <w:sz w:val="24"/>
          <w:szCs w:val="24"/>
        </w:rPr>
      </w:pPr>
    </w:p>
    <w:sectPr w:rsidR="00486E27" w:rsidRPr="00486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2A42"/>
    <w:multiLevelType w:val="hybridMultilevel"/>
    <w:tmpl w:val="CEB8F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74FC"/>
    <w:multiLevelType w:val="hybridMultilevel"/>
    <w:tmpl w:val="92A8CF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27"/>
    <w:rsid w:val="0005764F"/>
    <w:rsid w:val="002B5F49"/>
    <w:rsid w:val="003647D6"/>
    <w:rsid w:val="00383CB1"/>
    <w:rsid w:val="00486E27"/>
    <w:rsid w:val="005C7476"/>
    <w:rsid w:val="005E2C80"/>
    <w:rsid w:val="006005BF"/>
    <w:rsid w:val="00B2254B"/>
    <w:rsid w:val="00E24B93"/>
    <w:rsid w:val="00E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1F61"/>
  <w15:chartTrackingRefBased/>
  <w15:docId w15:val="{98C974DB-DE40-4E30-83A5-D234D0B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nprofitlaw.cleo.on.ca/future-law/update-governing-documents/bylaw-basics/" TargetMode="External"/><Relationship Id="rId5" Type="http://schemas.openxmlformats.org/officeDocument/2006/relationships/hyperlink" Target="https://nonprofitlaw.cleo.on.ca/wp-content/uploads/2014/06/For-review-ONCA_SampleBylaw_26Nov2018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Graham</dc:creator>
  <cp:keywords/>
  <dc:description/>
  <cp:lastModifiedBy>Stephen Graham</cp:lastModifiedBy>
  <cp:revision>2</cp:revision>
  <dcterms:created xsi:type="dcterms:W3CDTF">2021-10-24T14:01:00Z</dcterms:created>
  <dcterms:modified xsi:type="dcterms:W3CDTF">2021-10-24T14:01:00Z</dcterms:modified>
</cp:coreProperties>
</file>