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E611" w14:textId="77777777" w:rsidR="003B7AB9" w:rsidRPr="003B7AB9" w:rsidRDefault="003B7AB9" w:rsidP="003B7AB9">
      <w:pPr>
        <w:spacing w:after="60"/>
        <w:ind w:right="6"/>
        <w:jc w:val="center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3B7AB9">
        <w:rPr>
          <w:rFonts w:asciiTheme="majorHAnsi" w:hAnsiTheme="majorHAnsi" w:cs="Arial"/>
          <w:b/>
          <w:sz w:val="22"/>
          <w:szCs w:val="22"/>
        </w:rPr>
        <w:t>MINUTES</w:t>
      </w:r>
      <w:r w:rsidRPr="003B7AB9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LCCJ Board of Directors’ Meeting</w:t>
      </w:r>
    </w:p>
    <w:p w14:paraId="156AFF55" w14:textId="53D39328" w:rsidR="003B7AB9" w:rsidRPr="003B7AB9" w:rsidRDefault="004F45D6" w:rsidP="003B7AB9">
      <w:pPr>
        <w:spacing w:after="60"/>
        <w:ind w:right="6"/>
        <w:jc w:val="center"/>
        <w:rPr>
          <w:rFonts w:asciiTheme="majorHAnsi" w:hAnsiTheme="majorHAnsi" w:cs="Arial"/>
          <w:bCs/>
          <w:sz w:val="22"/>
          <w:szCs w:val="22"/>
          <w:lang w:val="en-US"/>
        </w:rPr>
      </w:pPr>
      <w:r>
        <w:rPr>
          <w:rFonts w:asciiTheme="majorHAnsi" w:hAnsiTheme="majorHAnsi" w:cs="Arial"/>
          <w:bCs/>
          <w:sz w:val="22"/>
          <w:szCs w:val="22"/>
          <w:lang w:val="en-US"/>
        </w:rPr>
        <w:t>Tuesday, April 25</w:t>
      </w:r>
      <w:r w:rsidR="003B7AB9" w:rsidRPr="003B7AB9">
        <w:rPr>
          <w:rFonts w:asciiTheme="majorHAnsi" w:hAnsiTheme="majorHAnsi" w:cs="Arial"/>
          <w:bCs/>
          <w:sz w:val="22"/>
          <w:szCs w:val="22"/>
          <w:lang w:val="en-US"/>
        </w:rPr>
        <w:t>, 2017 at 5:30 p.m.</w:t>
      </w:r>
    </w:p>
    <w:p w14:paraId="4B7F4D3F" w14:textId="256C7064" w:rsidR="003B7AB9" w:rsidRPr="00BD5DFE" w:rsidRDefault="003B7AB9" w:rsidP="00BD5DFE">
      <w:pPr>
        <w:pStyle w:val="Heading1"/>
        <w:rPr>
          <w:rFonts w:asciiTheme="majorHAnsi" w:hAnsiTheme="majorHAnsi" w:cs="Arial"/>
          <w:b w:val="0"/>
          <w:sz w:val="22"/>
          <w:szCs w:val="22"/>
        </w:rPr>
      </w:pPr>
      <w:r w:rsidRPr="003B7AB9">
        <w:rPr>
          <w:rFonts w:asciiTheme="majorHAnsi" w:hAnsiTheme="majorHAnsi" w:cs="Arial"/>
          <w:b w:val="0"/>
          <w:sz w:val="22"/>
          <w:szCs w:val="22"/>
        </w:rPr>
        <w:t>8 Herriott St., Room 10D, Perth, ON</w:t>
      </w:r>
    </w:p>
    <w:p w14:paraId="259AB1E0" w14:textId="77777777" w:rsidR="00BD5DFE" w:rsidRPr="003B7AB9" w:rsidRDefault="00BD5DFE" w:rsidP="003B7AB9">
      <w:pPr>
        <w:rPr>
          <w:rFonts w:asciiTheme="majorHAnsi" w:hAnsiTheme="majorHAnsi"/>
          <w:sz w:val="20"/>
          <w:szCs w:val="20"/>
        </w:rPr>
      </w:pPr>
    </w:p>
    <w:p w14:paraId="25DA5D53" w14:textId="5980D16A" w:rsidR="00BD5DFE" w:rsidRPr="00D21E6C" w:rsidRDefault="003B7AB9" w:rsidP="00D21E6C">
      <w:pPr>
        <w:spacing w:after="160"/>
        <w:ind w:left="990" w:hanging="921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3B7AB9">
        <w:rPr>
          <w:rFonts w:asciiTheme="majorHAnsi" w:hAnsiTheme="majorHAnsi" w:cs="Arial"/>
          <w:b/>
          <w:sz w:val="20"/>
          <w:szCs w:val="20"/>
          <w:lang w:val="en-US"/>
        </w:rPr>
        <w:t xml:space="preserve">Present: </w:t>
      </w: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>Murray Long (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Chair), 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Scott Ferguson </w:t>
      </w:r>
      <w:r w:rsidR="002F16D2" w:rsidRPr="002F16D2">
        <w:rPr>
          <w:rFonts w:asciiTheme="majorHAnsi" w:hAnsiTheme="majorHAnsi" w:cs="Arial"/>
          <w:i/>
          <w:sz w:val="20"/>
          <w:szCs w:val="20"/>
          <w:lang w:val="en-US"/>
        </w:rPr>
        <w:t>(Vice Chair),</w:t>
      </w:r>
      <w:r w:rsidR="002F16D2" w:rsidRPr="003B7AB9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Betty Jo Dean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(Treasurer</w:t>
      </w:r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)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- via Skype,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Christine Peringer</w:t>
      </w:r>
      <w:r>
        <w:rPr>
          <w:rFonts w:asciiTheme="majorHAnsi" w:hAnsiTheme="majorHAnsi" w:cs="Arial"/>
          <w:sz w:val="20"/>
          <w:szCs w:val="20"/>
          <w:lang w:val="en-US"/>
        </w:rPr>
        <w:t>,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i/>
          <w:sz w:val="20"/>
          <w:szCs w:val="20"/>
          <w:lang w:val="en-US"/>
        </w:rPr>
        <w:t xml:space="preserve">(Past Chair),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Linda Rush, </w:t>
      </w:r>
      <w:r w:rsidR="004F45D6">
        <w:rPr>
          <w:rFonts w:asciiTheme="majorHAnsi" w:hAnsiTheme="majorHAnsi" w:cs="Arial"/>
          <w:sz w:val="20"/>
          <w:szCs w:val="20"/>
          <w:lang w:val="en-US"/>
        </w:rPr>
        <w:t xml:space="preserve">Brian Peters,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Margo Bell (</w:t>
      </w:r>
      <w:r w:rsidRPr="003B7AB9">
        <w:rPr>
          <w:rFonts w:asciiTheme="majorHAnsi" w:hAnsiTheme="majorHAnsi" w:cs="Arial"/>
          <w:i/>
          <w:sz w:val="20"/>
          <w:szCs w:val="20"/>
          <w:lang w:val="en-US"/>
        </w:rPr>
        <w:t>minutes),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Sarah Bingham (</w:t>
      </w:r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Executive Director)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085"/>
        <w:gridCol w:w="5387"/>
        <w:gridCol w:w="2693"/>
      </w:tblGrid>
      <w:tr w:rsidR="003B7AB9" w14:paraId="58C6EA26" w14:textId="77777777" w:rsidTr="000558F8">
        <w:trPr>
          <w:trHeight w:val="488"/>
        </w:trPr>
        <w:tc>
          <w:tcPr>
            <w:tcW w:w="3085" w:type="dxa"/>
            <w:shd w:val="clear" w:color="auto" w:fill="B3B3B3"/>
          </w:tcPr>
          <w:p w14:paraId="5CDDF251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5387" w:type="dxa"/>
            <w:shd w:val="clear" w:color="auto" w:fill="B3B3B3"/>
          </w:tcPr>
          <w:p w14:paraId="49A5F9D9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93" w:type="dxa"/>
            <w:shd w:val="clear" w:color="auto" w:fill="B3B3B3"/>
          </w:tcPr>
          <w:p w14:paraId="7F6ECD4C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3B7AB9" w14:paraId="7889F77C" w14:textId="77777777" w:rsidTr="000558F8">
        <w:trPr>
          <w:trHeight w:val="2516"/>
        </w:trPr>
        <w:tc>
          <w:tcPr>
            <w:tcW w:w="3085" w:type="dxa"/>
          </w:tcPr>
          <w:p w14:paraId="09435C90" w14:textId="5AD1CAA2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6211924A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1)  Welcome and Preliminaries</w:t>
            </w:r>
          </w:p>
          <w:p w14:paraId="7B7E09DE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725FC98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a)  Check-in and Welcome</w:t>
            </w:r>
          </w:p>
          <w:p w14:paraId="15C81CCE" w14:textId="77777777" w:rsidR="00BD5DFE" w:rsidRP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75839A5" w14:textId="12376237" w:rsid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b)  Volunteer to do minutes</w:t>
            </w:r>
          </w:p>
          <w:p w14:paraId="1F66134C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ABA7E48" w14:textId="728616C3" w:rsidR="000613CE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c)  Revi</w:t>
            </w:r>
            <w:r w:rsidR="000558F8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ew and Adoption of Agenda </w:t>
            </w:r>
          </w:p>
          <w:p w14:paraId="5BF1AADB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5149B4B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3150E35" w14:textId="77777777" w:rsidR="00BC0BA4" w:rsidRDefault="00BC0BA4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9CEE716" w14:textId="77777777" w:rsidR="00BC0BA4" w:rsidRDefault="00BC0BA4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DF0C274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d)  Declaration of Conflict of Interest</w:t>
            </w:r>
          </w:p>
          <w:p w14:paraId="16C674BE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67954FE" w14:textId="66750156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e)  Approve Minutes of Board Meeting of March 28, 2017</w:t>
            </w:r>
          </w:p>
          <w:p w14:paraId="5BCDEE63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995F03C" w14:textId="77777777" w:rsidR="003F264F" w:rsidRDefault="003F264F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82E2FA7" w14:textId="77777777" w:rsidR="003F264F" w:rsidRDefault="003F264F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4E4F43E" w14:textId="77777777" w:rsidR="003F264F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f)  Approve Minutes of Board </w:t>
            </w:r>
          </w:p>
          <w:p w14:paraId="063F3325" w14:textId="6E7AD6F9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Meeting of April 13, 2017</w:t>
            </w:r>
          </w:p>
          <w:p w14:paraId="0836C8E6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F8B76F5" w14:textId="6EE6C4E6" w:rsidR="00BD5DFE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g)  Business Arising from Past Minutes</w:t>
            </w:r>
          </w:p>
        </w:tc>
        <w:tc>
          <w:tcPr>
            <w:tcW w:w="5387" w:type="dxa"/>
          </w:tcPr>
          <w:p w14:paraId="645F76EF" w14:textId="77777777" w:rsidR="003B7AB9" w:rsidRDefault="003B7AB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27F22B8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263AF2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D62982D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Murray welcomed everyone to the meeting and all checked in</w:t>
            </w:r>
          </w:p>
          <w:p w14:paraId="0A74B8AA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9FF0428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4F393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58E95E7" w14:textId="48ED333C" w:rsidR="00BD5DFE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Adopted as amended</w:t>
            </w:r>
            <w:r w:rsidR="004F45D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- Addition to agenda – 1 g) Business Arising from past minutes</w:t>
            </w:r>
            <w:r w:rsidR="000558F8">
              <w:rPr>
                <w:rFonts w:asciiTheme="majorHAnsi" w:hAnsiTheme="majorHAnsi" w:cs="Arial"/>
                <w:sz w:val="20"/>
                <w:szCs w:val="20"/>
                <w:lang w:val="en-US"/>
              </w:rPr>
              <w:t>;</w:t>
            </w:r>
            <w:r w:rsidR="003F264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6 a) (ii) removed </w:t>
            </w:r>
            <w:r w:rsidR="000558F8">
              <w:rPr>
                <w:rFonts w:asciiTheme="majorHAnsi" w:hAnsiTheme="majorHAnsi" w:cs="Arial"/>
                <w:sz w:val="20"/>
                <w:szCs w:val="20"/>
                <w:lang w:val="en-US"/>
              </w:rPr>
              <w:t>and addition of 8 c)</w:t>
            </w:r>
          </w:p>
          <w:p w14:paraId="3E790C9B" w14:textId="44E57684" w:rsidR="00D21E6C" w:rsidRDefault="00D21E6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Date of AGM</w:t>
            </w:r>
          </w:p>
          <w:p w14:paraId="3ADCFBB8" w14:textId="50BE15A4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 w:rsidR="004F45D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Brian</w:t>
            </w:r>
            <w:r w:rsidR="00315C8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</w:t>
            </w:r>
            <w:r w:rsidR="00315C8C"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6411F16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1C129F8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None declared</w:t>
            </w:r>
          </w:p>
          <w:p w14:paraId="5A73CDE2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7AE392F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1D490FF" w14:textId="45F14B5C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Approved</w:t>
            </w:r>
            <w:r w:rsidR="003F264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as amended – 6) Committee Updates a) 4 – add date of April 27 to time and 9) New Business c) Action – to be done by Governance Committee (not Nominations Committee)</w:t>
            </w:r>
          </w:p>
          <w:p w14:paraId="43F9F227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Moved: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Scott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Seconded: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Brian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66CBACB7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CB3C210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F45D6">
              <w:rPr>
                <w:rFonts w:asciiTheme="majorHAnsi" w:hAnsiTheme="majorHAnsi" w:cs="Arial"/>
                <w:sz w:val="20"/>
                <w:szCs w:val="20"/>
                <w:lang w:val="en-US"/>
              </w:rPr>
              <w:t>Approved</w:t>
            </w:r>
          </w:p>
          <w:p w14:paraId="45EA3CDC" w14:textId="5574E0BD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Moved: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Linda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Seconded:  </w:t>
            </w:r>
            <w:r w:rsidR="0083645A">
              <w:rPr>
                <w:rFonts w:asciiTheme="majorHAnsi" w:hAnsiTheme="majorHAnsi" w:cs="Arial"/>
                <w:sz w:val="20"/>
                <w:szCs w:val="20"/>
                <w:lang w:val="en-US"/>
              </w:rPr>
              <w:t>Scott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462DA5DA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9106CDF" w14:textId="58767E35" w:rsidR="004F45D6" w:rsidRP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Need to create an outline of definitions of Restorative Approaches and/or Restorative Practices and Restorative Mindset before our Board Retreat Day</w:t>
            </w:r>
          </w:p>
        </w:tc>
        <w:tc>
          <w:tcPr>
            <w:tcW w:w="2693" w:type="dxa"/>
          </w:tcPr>
          <w:p w14:paraId="262D6C06" w14:textId="77777777" w:rsidR="003B7AB9" w:rsidRDefault="003B7AB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95E0D2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54361DB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50DDD9C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860BD9F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751263F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Margo to take minutes</w:t>
            </w:r>
          </w:p>
          <w:p w14:paraId="606A671D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409E1B1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Addition of 1 g) to agenda to be on-going</w:t>
            </w:r>
          </w:p>
          <w:p w14:paraId="2A240A2F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3A78078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BF85BCE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1E6AA01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914BCBC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B994001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13939AF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B66C7D1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10C5D37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260DAF9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8BD740D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719D849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58B3FE4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5B3714B" w14:textId="77777777" w:rsidR="0083645A" w:rsidRDefault="0083645A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BDEAC70" w14:textId="1A1EB95D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Brian will undertake a draft</w:t>
            </w:r>
          </w:p>
        </w:tc>
      </w:tr>
      <w:tr w:rsidR="003B7AB9" w14:paraId="2A2EB30F" w14:textId="77777777" w:rsidTr="000558F8">
        <w:trPr>
          <w:trHeight w:val="3072"/>
        </w:trPr>
        <w:tc>
          <w:tcPr>
            <w:tcW w:w="3085" w:type="dxa"/>
            <w:tcBorders>
              <w:bottom w:val="single" w:sz="4" w:space="0" w:color="auto"/>
            </w:tcBorders>
          </w:tcPr>
          <w:p w14:paraId="7842BB0E" w14:textId="32CB6712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FE85618" w14:textId="7D7CBCA0" w:rsidR="003B7AB9" w:rsidRDefault="00315C8C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2)  </w:t>
            </w:r>
            <w:r w:rsidR="00E3345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Restorative Moment</w:t>
            </w:r>
          </w:p>
          <w:p w14:paraId="6F3BAEE8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FB1F277" w14:textId="77777777" w:rsidR="005F018B" w:rsidRDefault="005F018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008106C8" w14:textId="09E59901" w:rsidR="00315C8C" w:rsidRPr="000613CE" w:rsidRDefault="00315C8C" w:rsidP="00F744ED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30EF183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25015EF" w14:textId="1845163A" w:rsidR="003E728B" w:rsidRDefault="0083645A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Murray distributed a</w:t>
            </w:r>
            <w:r w:rsidR="00E3345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document from</w:t>
            </w:r>
            <w:r w:rsidR="00615A3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the </w:t>
            </w:r>
            <w:r w:rsidR="00E3345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Alberta </w:t>
            </w:r>
            <w:r w:rsidR="00615A3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Civil Liberties Research Centre </w:t>
            </w:r>
            <w:r w:rsidR="00E33459">
              <w:rPr>
                <w:rFonts w:asciiTheme="majorHAnsi" w:hAnsiTheme="majorHAnsi" w:cs="Arial"/>
                <w:sz w:val="20"/>
                <w:szCs w:val="20"/>
                <w:lang w:val="en-US"/>
              </w:rPr>
              <w:t>overviewing the 1995 amendment to the Canadian Criminal Code to reflect the importance of restorative justice to the criminal justice system, adding section 742.1</w:t>
            </w:r>
          </w:p>
          <w:p w14:paraId="72FA8055" w14:textId="2D726459" w:rsidR="00615A36" w:rsidRDefault="00615A3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Murray highlighted the section on page 2 regarding the perception of some that restorative justice is seen as too lenient </w:t>
            </w:r>
          </w:p>
          <w:p w14:paraId="0F1A29E7" w14:textId="77777777" w:rsidR="00615A36" w:rsidRDefault="00615A3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20AC90" w14:textId="02366C5D" w:rsidR="00615A36" w:rsidRDefault="00615A3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Link to the article:  </w:t>
            </w:r>
            <w:hyperlink r:id="rId7" w:history="1">
              <w:r w:rsidRPr="00CA17AD">
                <w:rPr>
                  <w:rStyle w:val="Hyperlink"/>
                  <w:rFonts w:asciiTheme="majorHAnsi" w:hAnsiTheme="majorHAnsi" w:cs="Arial"/>
                  <w:sz w:val="20"/>
                  <w:szCs w:val="20"/>
                  <w:lang w:val="en-US"/>
                </w:rPr>
                <w:t>http://www.aclrc.com/what-is-justice-reflectios-on-restorataive-justice</w:t>
              </w:r>
            </w:hyperlink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88CBF6" w14:textId="77777777" w:rsidR="005F018B" w:rsidRDefault="005F018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0053FF5" w14:textId="4EF5BA3D" w:rsidR="00194999" w:rsidRDefault="00615A3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Sarah to do Restorative Moment for May Board Meeting</w:t>
            </w:r>
          </w:p>
          <w:p w14:paraId="44737E8F" w14:textId="77777777" w:rsidR="00194999" w:rsidRDefault="0019499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29659B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CC4D84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AC67627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AF8EA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C00B0BA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9A8C232" w14:textId="3976AD41" w:rsidR="00BD5DFE" w:rsidRDefault="00BD5DFE" w:rsidP="00E33459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4510BD" w14:paraId="2B115A8E" w14:textId="77777777" w:rsidTr="00D21E6C">
        <w:trPr>
          <w:trHeight w:val="74"/>
        </w:trPr>
        <w:tc>
          <w:tcPr>
            <w:tcW w:w="3085" w:type="dxa"/>
            <w:tcBorders>
              <w:bottom w:val="single" w:sz="4" w:space="0" w:color="auto"/>
            </w:tcBorders>
          </w:tcPr>
          <w:p w14:paraId="60456910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1C857D0" w14:textId="1055AEB2" w:rsidR="004510BD" w:rsidRPr="005F018B" w:rsidRDefault="004510BD" w:rsidP="00F744ED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3)  </w:t>
            </w:r>
            <w:r w:rsidR="00F744E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Executive Director’s Report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FF1421F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61643D8" w14:textId="1073362D" w:rsidR="00B54A41" w:rsidRDefault="00693B7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Sarah presented her report – highlighting Community Relationships – the Community Issues sub-committee of the Lanark County Planning Council for Children, Youth and Families are drafting an advocacy letter re their concerns over relocation </w:t>
            </w:r>
            <w:r w:rsidR="0083645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Aboriginal youth to our region as well as requesting the entire membership to draft similar letters.  In the meantime we will collaborative</w:t>
            </w:r>
            <w:r w:rsidR="0083645A">
              <w:rPr>
                <w:rFonts w:asciiTheme="majorHAnsi" w:hAnsiTheme="majorHAnsi" w:cs="Arial"/>
                <w:sz w:val="20"/>
                <w:szCs w:val="20"/>
                <w:lang w:val="en-US"/>
              </w:rPr>
              <w:t>ly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build local capacity to serve these specific youth appropriately.</w:t>
            </w:r>
          </w:p>
          <w:p w14:paraId="0E30B51F" w14:textId="77777777" w:rsidR="004510BD" w:rsidRDefault="004510BD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6866C8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3BBF15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F1E337C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4AA185B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C751BA6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3B278D0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D17E4F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E75FC2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A51851E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DA12B91" w14:textId="0B534FED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93B73" w14:paraId="44EFC8B6" w14:textId="77777777" w:rsidTr="000558F8">
        <w:tc>
          <w:tcPr>
            <w:tcW w:w="3085" w:type="dxa"/>
            <w:shd w:val="clear" w:color="auto" w:fill="B3B3B3"/>
          </w:tcPr>
          <w:p w14:paraId="53CBBD3F" w14:textId="33D2A9EA" w:rsidR="00693B73" w:rsidRPr="00693B73" w:rsidRDefault="00693B73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lastRenderedPageBreak/>
              <w:t>AGENDA ITEM</w:t>
            </w:r>
          </w:p>
        </w:tc>
        <w:tc>
          <w:tcPr>
            <w:tcW w:w="5387" w:type="dxa"/>
            <w:shd w:val="clear" w:color="auto" w:fill="B3B3B3"/>
          </w:tcPr>
          <w:p w14:paraId="4A27F48D" w14:textId="33CD44D5" w:rsidR="00693B73" w:rsidRPr="00693B73" w:rsidRDefault="00693B73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93" w:type="dxa"/>
            <w:shd w:val="clear" w:color="auto" w:fill="B3B3B3"/>
          </w:tcPr>
          <w:p w14:paraId="79DD96D1" w14:textId="64D67C83" w:rsidR="00693B73" w:rsidRPr="00693B73" w:rsidRDefault="00693B73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693B73" w:rsidRPr="00693B73" w14:paraId="74E5E0B4" w14:textId="77777777" w:rsidTr="000558F8">
        <w:trPr>
          <w:trHeight w:val="1266"/>
        </w:trPr>
        <w:tc>
          <w:tcPr>
            <w:tcW w:w="3085" w:type="dxa"/>
          </w:tcPr>
          <w:p w14:paraId="37E88982" w14:textId="77777777" w:rsidR="00693B73" w:rsidRDefault="00693B73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5688466" w14:textId="1F7D9EFA" w:rsidR="00693B73" w:rsidRPr="00693B73" w:rsidRDefault="00693B73" w:rsidP="00693B73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4)  Program Coordinator’s Report </w:t>
            </w:r>
          </w:p>
        </w:tc>
        <w:tc>
          <w:tcPr>
            <w:tcW w:w="5387" w:type="dxa"/>
          </w:tcPr>
          <w:p w14:paraId="15ABF4CE" w14:textId="77777777" w:rsidR="00693B73" w:rsidRPr="00693B73" w:rsidRDefault="00693B73" w:rsidP="00693B73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0DB3BB6" w14:textId="6874A340" w:rsidR="00693B73" w:rsidRDefault="00B54BF7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Community Justice statistics were presented – suggestion made that ‘Total’ read ‘YTD Total’ </w:t>
            </w:r>
          </w:p>
          <w:p w14:paraId="7085F318" w14:textId="77777777" w:rsidR="00EB65FE" w:rsidRDefault="00EB65FE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DA7C8D5" w14:textId="21D23FB1" w:rsidR="00B54BF7" w:rsidRPr="00693B73" w:rsidRDefault="00B54BF7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Update regarding events attended</w:t>
            </w:r>
            <w:r w:rsidR="00EB65F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– highlighted National Restorative Justice Symposium 2017 Planning Committee</w:t>
            </w:r>
          </w:p>
          <w:p w14:paraId="2CC5AAE8" w14:textId="77777777" w:rsidR="00693B73" w:rsidRPr="00693B73" w:rsidRDefault="00693B73" w:rsidP="00693B73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57B7891" w14:textId="77777777" w:rsidR="00693B73" w:rsidRDefault="00693B73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CCD4851" w14:textId="144400F5" w:rsidR="00B54BF7" w:rsidRDefault="00EB65FE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Sarah will have </w:t>
            </w:r>
            <w:r w:rsidR="00B54BF7">
              <w:rPr>
                <w:rFonts w:asciiTheme="majorHAnsi" w:hAnsiTheme="majorHAnsi" w:cs="Arial"/>
                <w:sz w:val="20"/>
                <w:szCs w:val="20"/>
                <w:lang w:val="en-US"/>
              </w:rPr>
              <w:t>changed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and</w:t>
            </w:r>
          </w:p>
          <w:p w14:paraId="5DCBC58B" w14:textId="77777777" w:rsidR="00B54BF7" w:rsidRDefault="00B54BF7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add notes that can help explain trends</w:t>
            </w:r>
          </w:p>
          <w:p w14:paraId="363A47EB" w14:textId="3488006E" w:rsidR="00EB65FE" w:rsidRPr="00693B73" w:rsidRDefault="00EB65FE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LCCJ to host a workshop – subject to be confirmed</w:t>
            </w:r>
          </w:p>
        </w:tc>
      </w:tr>
      <w:tr w:rsidR="00B54BF7" w14:paraId="2AA87642" w14:textId="77777777" w:rsidTr="000558F8">
        <w:tc>
          <w:tcPr>
            <w:tcW w:w="3085" w:type="dxa"/>
          </w:tcPr>
          <w:p w14:paraId="71E7E365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3E1D26F" w14:textId="1E51E345" w:rsidR="00B54BF7" w:rsidRPr="00B54BF7" w:rsidRDefault="00DB2DCC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5) Community</w:t>
            </w:r>
            <w:r w:rsidR="00B54BF7">
              <w:rPr>
                <w:rFonts w:asciiTheme="majorHAnsi" w:hAnsiTheme="majorHAnsi"/>
                <w:b/>
                <w:sz w:val="20"/>
                <w:szCs w:val="20"/>
              </w:rPr>
              <w:t xml:space="preserve"> Animator’s Report</w:t>
            </w:r>
          </w:p>
        </w:tc>
        <w:tc>
          <w:tcPr>
            <w:tcW w:w="5387" w:type="dxa"/>
          </w:tcPr>
          <w:p w14:paraId="33D2D3A0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0853EB8" w14:textId="5808F268" w:rsidR="00EB65FE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Strong</w:t>
            </w:r>
            <w:r w:rsidR="00EB65FE">
              <w:rPr>
                <w:rFonts w:asciiTheme="majorHAnsi" w:hAnsiTheme="majorHAnsi"/>
                <w:sz w:val="20"/>
                <w:szCs w:val="20"/>
              </w:rPr>
              <w:t xml:space="preserve"> notes were part of the report –</w:t>
            </w:r>
            <w:r w:rsidR="0083645A">
              <w:rPr>
                <w:rFonts w:asciiTheme="majorHAnsi" w:hAnsiTheme="majorHAnsi"/>
                <w:sz w:val="20"/>
                <w:szCs w:val="20"/>
              </w:rPr>
              <w:t xml:space="preserve"> suggested there be</w:t>
            </w:r>
            <w:r w:rsidR="00EB65FE">
              <w:rPr>
                <w:rFonts w:asciiTheme="majorHAnsi" w:hAnsiTheme="majorHAnsi"/>
                <w:sz w:val="20"/>
                <w:szCs w:val="20"/>
              </w:rPr>
              <w:t xml:space="preserve"> 2 leaders per circle given</w:t>
            </w:r>
            <w:r w:rsidR="0083645A">
              <w:rPr>
                <w:rFonts w:asciiTheme="majorHAnsi" w:hAnsiTheme="majorHAnsi"/>
                <w:sz w:val="20"/>
                <w:szCs w:val="20"/>
              </w:rPr>
              <w:t xml:space="preserve"> the numbers; </w:t>
            </w:r>
            <w:r w:rsidR="00EB65FE">
              <w:rPr>
                <w:rFonts w:asciiTheme="majorHAnsi" w:hAnsiTheme="majorHAnsi"/>
                <w:sz w:val="20"/>
                <w:szCs w:val="20"/>
              </w:rPr>
              <w:t>as well as next event by area rather than the whole County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7BF3F7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Andrew has followed up with each school re moving forward</w:t>
            </w:r>
          </w:p>
          <w:p w14:paraId="514B3F05" w14:textId="057B5A3F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number of students interested in being circle leaders at their school - will count toward their volunteer hours</w:t>
            </w:r>
          </w:p>
          <w:p w14:paraId="5952A39F" w14:textId="6A485546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Also reported that LCCJ will host a seminar and have an information booth at Teen Expo Day being held May 2</w:t>
            </w:r>
            <w:r w:rsidRPr="00B54BF7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693" w:type="dxa"/>
          </w:tcPr>
          <w:p w14:paraId="525BE68C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6D5E7B24" w14:textId="77777777" w:rsidTr="000558F8">
        <w:tc>
          <w:tcPr>
            <w:tcW w:w="3085" w:type="dxa"/>
          </w:tcPr>
          <w:p w14:paraId="6841E652" w14:textId="4DC19F9B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32DC3E9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6)  Committee Updates</w:t>
            </w:r>
          </w:p>
          <w:p w14:paraId="7146ED3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D5898D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  Governance Committee Minutes</w:t>
            </w:r>
          </w:p>
          <w:p w14:paraId="4FC5A195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441EBDA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(i)  Nominations Update</w:t>
            </w:r>
          </w:p>
          <w:p w14:paraId="7290B9E2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53808D1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B9C31EF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4853FCC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  Human Resources Committee</w:t>
            </w:r>
          </w:p>
          <w:p w14:paraId="49F3EE4C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(i) TOR</w:t>
            </w:r>
          </w:p>
          <w:p w14:paraId="3362795C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3D682FB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9A3D803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(ii) Complaints Policy</w:t>
            </w:r>
          </w:p>
          <w:p w14:paraId="6DA2A17C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BCD7CF3" w14:textId="131A0D4F" w:rsidR="004E7F68" w:rsidRPr="00EB65FE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(iii) ED Evaluation</w:t>
            </w:r>
          </w:p>
        </w:tc>
        <w:tc>
          <w:tcPr>
            <w:tcW w:w="5387" w:type="dxa"/>
          </w:tcPr>
          <w:p w14:paraId="7DEC1146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3246D5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783993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E99C16D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Presented for April 27, 2017 meeting</w:t>
            </w:r>
          </w:p>
          <w:p w14:paraId="5C30956A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68888CF" w14:textId="77777777" w:rsidR="00DB2DCC" w:rsidRDefault="00DB2DC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68F7826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candidates at this time</w:t>
            </w:r>
          </w:p>
          <w:p w14:paraId="190103BA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6F8B9B4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9E64759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EF92501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 Terms of Reference (TOR) as amended</w:t>
            </w:r>
          </w:p>
          <w:p w14:paraId="697D3B88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Linda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Scott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0461B437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4B535C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66DC7B" w14:textId="77777777" w:rsidR="004E7F68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need to be made, therefore will be presented at next Board meeting – May 23, 2017</w:t>
            </w:r>
          </w:p>
          <w:p w14:paraId="353F27E2" w14:textId="77252815" w:rsidR="0078126D" w:rsidRPr="004E7F68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Deferred to May</w:t>
            </w:r>
          </w:p>
        </w:tc>
        <w:tc>
          <w:tcPr>
            <w:tcW w:w="2693" w:type="dxa"/>
          </w:tcPr>
          <w:p w14:paraId="616607B0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241D377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25A3E9E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B210AB0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Going to create TOR</w:t>
            </w:r>
          </w:p>
          <w:p w14:paraId="2655D173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Looking at by-law change</w:t>
            </w:r>
          </w:p>
          <w:p w14:paraId="7EF5569F" w14:textId="77777777" w:rsidR="00DB2DCC" w:rsidRDefault="00DB2DC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378C7F8" w14:textId="723A845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Margo to contact Carole Fuller and PDCF – Scott to contact his network</w:t>
            </w:r>
          </w:p>
          <w:p w14:paraId="13384EFA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5A971CD" w14:textId="113AA59B" w:rsidR="004E7F68" w:rsidRDefault="004E7F68" w:rsidP="004E7F68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Sarah will make discussed changes.</w:t>
            </w:r>
            <w:r w:rsidR="0078126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Policy will be reviewed at next meeting </w:t>
            </w:r>
            <w:r w:rsidR="0078126D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126D">
              <w:rPr>
                <w:rFonts w:asciiTheme="majorHAnsi" w:hAnsiTheme="majorHAnsi"/>
                <w:sz w:val="20"/>
                <w:szCs w:val="20"/>
              </w:rPr>
              <w:t>address whether ED performance review is an HR role (under responsibilities)</w:t>
            </w:r>
          </w:p>
          <w:p w14:paraId="52E9C604" w14:textId="3A9B1788" w:rsidR="004E7F68" w:rsidRDefault="004E7F68" w:rsidP="004E7F68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176F9220" w14:textId="77777777" w:rsidTr="000558F8">
        <w:tc>
          <w:tcPr>
            <w:tcW w:w="3085" w:type="dxa"/>
          </w:tcPr>
          <w:p w14:paraId="4EA51BC6" w14:textId="24B9CF49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6230E3D" w14:textId="77777777" w:rsidR="004E7F68" w:rsidRDefault="0078126D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7)  Finance</w:t>
            </w:r>
          </w:p>
          <w:p w14:paraId="49A64254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  Budget 2017/18 Fiscal Year</w:t>
            </w:r>
          </w:p>
          <w:p w14:paraId="0A4B7260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B6F88E5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0E37FA0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2A3ED13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CA6FF4D" w14:textId="17FF42A5" w:rsidR="000558F8" w:rsidRPr="0078126D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  Minutes – March 17, 2017</w:t>
            </w:r>
          </w:p>
        </w:tc>
        <w:tc>
          <w:tcPr>
            <w:tcW w:w="5387" w:type="dxa"/>
          </w:tcPr>
          <w:p w14:paraId="754A72D7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4249A97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A394BCE" w14:textId="27FA0A9C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Sarah and Betty Jo ran through the budget highlighting our Trillium Grant </w:t>
            </w:r>
            <w:r w:rsidR="000558F8">
              <w:rPr>
                <w:rFonts w:asciiTheme="majorHAnsi" w:hAnsiTheme="majorHAnsi"/>
                <w:sz w:val="20"/>
                <w:szCs w:val="20"/>
              </w:rPr>
              <w:t xml:space="preserve">(total approval $318,000) </w:t>
            </w:r>
            <w:r>
              <w:rPr>
                <w:rFonts w:asciiTheme="majorHAnsi" w:hAnsiTheme="majorHAnsi"/>
                <w:sz w:val="20"/>
                <w:szCs w:val="20"/>
              </w:rPr>
              <w:t>- $94,651 for this year, leaving $90,000 for year 3</w:t>
            </w:r>
          </w:p>
          <w:p w14:paraId="631E0AEE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Motion to approve the budget as amended</w:t>
            </w:r>
          </w:p>
          <w:p w14:paraId="3E75BE17" w14:textId="10453245" w:rsidR="000558F8" w:rsidRP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Betty Jo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Linda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36AC7C06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Motion to approve the minutes</w:t>
            </w:r>
          </w:p>
          <w:p w14:paraId="0D9D041E" w14:textId="4C917C2C" w:rsidR="000558F8" w:rsidRP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Betty Jo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Linda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</w:tc>
        <w:tc>
          <w:tcPr>
            <w:tcW w:w="2693" w:type="dxa"/>
          </w:tcPr>
          <w:p w14:paraId="5BB3AFE4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10D6AD00" w14:textId="77777777" w:rsidTr="000558F8">
        <w:tc>
          <w:tcPr>
            <w:tcW w:w="3085" w:type="dxa"/>
          </w:tcPr>
          <w:p w14:paraId="0455700A" w14:textId="17AA02AA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CB7F11E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8)  Business Arising</w:t>
            </w:r>
          </w:p>
          <w:p w14:paraId="4649BCC1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a) Set date for day long Board retreat to discuss name, language </w:t>
            </w:r>
          </w:p>
          <w:p w14:paraId="3DEEBD94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  Review of Be Strong Day Video</w:t>
            </w:r>
          </w:p>
          <w:p w14:paraId="2E45965D" w14:textId="0AEBAA17" w:rsidR="00D21E6C" w:rsidRPr="000558F8" w:rsidRDefault="00D21E6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c)  Date of AGM</w:t>
            </w:r>
          </w:p>
        </w:tc>
        <w:tc>
          <w:tcPr>
            <w:tcW w:w="5387" w:type="dxa"/>
          </w:tcPr>
          <w:p w14:paraId="1088EC9A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FE97927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AD9C99F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018CDBA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DE8E73C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limitations and technical difficulty</w:t>
            </w:r>
          </w:p>
          <w:p w14:paraId="3AFBA916" w14:textId="77777777" w:rsidR="00D21E6C" w:rsidRDefault="00D21E6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 date of AGM from June 5 to June 12, 2017 in Smiths Falls</w:t>
            </w:r>
          </w:p>
          <w:p w14:paraId="3EA6453A" w14:textId="0C98857F" w:rsidR="00D21E6C" w:rsidRPr="00D21E6C" w:rsidRDefault="00D21E6C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Margo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Scott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</w:tc>
        <w:tc>
          <w:tcPr>
            <w:tcW w:w="2693" w:type="dxa"/>
          </w:tcPr>
          <w:p w14:paraId="38052111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7D24EA3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78F1615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Sarah to send out Doodle Poll</w:t>
            </w:r>
          </w:p>
          <w:p w14:paraId="674EDBE6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BBA9AF0" w14:textId="5519941B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Sarah will send U Tube link</w:t>
            </w:r>
          </w:p>
        </w:tc>
      </w:tr>
      <w:tr w:rsidR="00B54BF7" w14:paraId="37CA01EE" w14:textId="77777777" w:rsidTr="000558F8">
        <w:tc>
          <w:tcPr>
            <w:tcW w:w="3085" w:type="dxa"/>
          </w:tcPr>
          <w:p w14:paraId="5153A05B" w14:textId="639284FC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6B79B3D" w14:textId="103BA704" w:rsidR="000558F8" w:rsidRP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9)  New Business</w:t>
            </w:r>
          </w:p>
        </w:tc>
        <w:tc>
          <w:tcPr>
            <w:tcW w:w="5387" w:type="dxa"/>
          </w:tcPr>
          <w:p w14:paraId="5B8303C4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CCB3C84" w14:textId="4C3462B3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new business</w:t>
            </w:r>
          </w:p>
        </w:tc>
        <w:tc>
          <w:tcPr>
            <w:tcW w:w="2693" w:type="dxa"/>
          </w:tcPr>
          <w:p w14:paraId="3BDD6720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65686B43" w14:textId="77777777" w:rsidTr="000558F8">
        <w:tc>
          <w:tcPr>
            <w:tcW w:w="3085" w:type="dxa"/>
          </w:tcPr>
          <w:p w14:paraId="10BB4778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BB8CFFD" w14:textId="7BB18348" w:rsidR="000558F8" w:rsidRP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10)  Closing</w:t>
            </w:r>
          </w:p>
        </w:tc>
        <w:tc>
          <w:tcPr>
            <w:tcW w:w="5387" w:type="dxa"/>
          </w:tcPr>
          <w:p w14:paraId="52461AFF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76D55A84" w14:textId="77777777" w:rsidR="00D21E6C" w:rsidRDefault="00D21E6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Next Board Meeting – May 23, 2017 @ 5:30 p.m. – FCSLLG Room 10D</w:t>
            </w:r>
          </w:p>
          <w:p w14:paraId="5C101684" w14:textId="7BE62321" w:rsidR="00D21E6C" w:rsidRDefault="00D21E6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remarks – it was a tough, but good meeting, a lot was accomplished – great to complete the agenda</w:t>
            </w:r>
          </w:p>
        </w:tc>
        <w:tc>
          <w:tcPr>
            <w:tcW w:w="2693" w:type="dxa"/>
          </w:tcPr>
          <w:p w14:paraId="703CBE96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B2B609C" w14:textId="71FE8458" w:rsidR="00B81844" w:rsidRPr="003B7AB9" w:rsidRDefault="00B81844" w:rsidP="00B54BF7">
      <w:pPr>
        <w:ind w:left="0" w:firstLine="0"/>
        <w:rPr>
          <w:rFonts w:asciiTheme="majorHAnsi" w:hAnsiTheme="majorHAnsi"/>
          <w:sz w:val="20"/>
          <w:szCs w:val="20"/>
        </w:rPr>
      </w:pPr>
    </w:p>
    <w:sectPr w:rsidR="00B81844" w:rsidRPr="003B7AB9" w:rsidSect="003B7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E4"/>
    <w:multiLevelType w:val="hybridMultilevel"/>
    <w:tmpl w:val="CE3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158"/>
    <w:multiLevelType w:val="hybridMultilevel"/>
    <w:tmpl w:val="B3B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299"/>
    <w:multiLevelType w:val="hybridMultilevel"/>
    <w:tmpl w:val="D73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33AB"/>
    <w:multiLevelType w:val="hybridMultilevel"/>
    <w:tmpl w:val="AFA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1EB2"/>
    <w:multiLevelType w:val="hybridMultilevel"/>
    <w:tmpl w:val="C22A7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7A7"/>
    <w:multiLevelType w:val="hybridMultilevel"/>
    <w:tmpl w:val="888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9"/>
    <w:rsid w:val="00031D76"/>
    <w:rsid w:val="000558F8"/>
    <w:rsid w:val="000613CE"/>
    <w:rsid w:val="00083CDB"/>
    <w:rsid w:val="00194999"/>
    <w:rsid w:val="001A12AB"/>
    <w:rsid w:val="002F16D2"/>
    <w:rsid w:val="0030252D"/>
    <w:rsid w:val="00315C8C"/>
    <w:rsid w:val="00320015"/>
    <w:rsid w:val="003324C6"/>
    <w:rsid w:val="003B7AB9"/>
    <w:rsid w:val="003D40FC"/>
    <w:rsid w:val="003E728B"/>
    <w:rsid w:val="003F264F"/>
    <w:rsid w:val="004510BD"/>
    <w:rsid w:val="0049507E"/>
    <w:rsid w:val="004E7F68"/>
    <w:rsid w:val="004F45D6"/>
    <w:rsid w:val="005D5F08"/>
    <w:rsid w:val="005F018B"/>
    <w:rsid w:val="00615A36"/>
    <w:rsid w:val="00693B73"/>
    <w:rsid w:val="0078126D"/>
    <w:rsid w:val="0083645A"/>
    <w:rsid w:val="00AA3814"/>
    <w:rsid w:val="00AA5A41"/>
    <w:rsid w:val="00AA76B3"/>
    <w:rsid w:val="00AE0BCA"/>
    <w:rsid w:val="00B54A41"/>
    <w:rsid w:val="00B54BF7"/>
    <w:rsid w:val="00B56D5F"/>
    <w:rsid w:val="00B81844"/>
    <w:rsid w:val="00BC0BA4"/>
    <w:rsid w:val="00BD5DFE"/>
    <w:rsid w:val="00BE3E21"/>
    <w:rsid w:val="00C4756E"/>
    <w:rsid w:val="00D0109A"/>
    <w:rsid w:val="00D21E6C"/>
    <w:rsid w:val="00DB2DCC"/>
    <w:rsid w:val="00E33459"/>
    <w:rsid w:val="00E41AB6"/>
    <w:rsid w:val="00EB65FE"/>
    <w:rsid w:val="00F744ED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73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lrc.com/what-is-justice-reflectios-on-restorataive-jus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5083E-31A3-4BCC-A185-6A5748A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Bell</dc:creator>
  <cp:lastModifiedBy>Sarah Bingham</cp:lastModifiedBy>
  <cp:revision>3</cp:revision>
  <cp:lastPrinted>2017-05-22T02:53:00Z</cp:lastPrinted>
  <dcterms:created xsi:type="dcterms:W3CDTF">2017-05-23T12:44:00Z</dcterms:created>
  <dcterms:modified xsi:type="dcterms:W3CDTF">2017-05-23T12:48:00Z</dcterms:modified>
</cp:coreProperties>
</file>